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a="http://schemas.openxmlformats.org/drawingml/2006/main" xmlns:pic="http://schemas.openxmlformats.org/drawingml/2006/picture" xmlns:w="http://schemas.openxmlformats.org/wordprocessingml/2006/main">
  <w:body>
    <w:p>
      <w:pPr>
        <w:jc w:val="center"/>
        <w:spacing w:line="240" w:lineRule="auto"/>
      </w:pPr>
      <w:r>
        <w:rPr>
          <w:rFonts w:ascii="Times New Roman CE" w:cs="Times New Roman CE" w:hAnsi="Times New Roman CE"/>
          <w:b/>
          <w:sz w:val="28"/>
        </w:rPr>
        <w:t xml:space="preserve">- Capitolul VII -</w:t>
      </w:r>
    </w:p>
    <w:p>
      <w:pPr>
        <w:jc w:val="center"/>
        <w:spacing w:line="240" w:lineRule="auto"/>
      </w:pPr>
      <w:r>
        <w:rPr>
          <w:rFonts w:ascii="Times New Roman CE" w:cs="Times New Roman CE" w:hAnsi="Times New Roman CE"/>
          <w:b/>
          <w:sz w:val="28"/>
        </w:rPr>
        <w:t xml:space="preserve">INFRACŢIUNI CE ADUC ATINGERE DOMICILIULUI ŞI</w:t>
      </w:r>
    </w:p>
    <w:p>
      <w:pPr>
        <w:jc w:val="center"/>
        <w:spacing w:line="240" w:lineRule="auto"/>
      </w:pPr>
      <w:r>
        <w:rPr>
          <w:rFonts w:ascii="Times New Roman CE" w:cs="Times New Roman CE" w:hAnsi="Times New Roman CE"/>
          <w:b/>
          <w:sz w:val="28"/>
        </w:rPr>
        <w:t xml:space="preserve">VIEŢII PRIVATE</w:t>
      </w:r>
    </w:p>
    <w:p>
      <w:pPr>
        <w:jc w:val="left"/>
        <w:spacing w:line="240" w:lineRule="auto"/>
      </w:pPr>
      <w:r>
        <w:rPr>
          <w:rFonts w:ascii="Times New Roman CE" w:cs="Times New Roman CE" w:hAnsi="Times New Roman CE"/>
          <w:b/>
          <w:sz w:val="28"/>
        </w:rPr>
        <w:t xml:space="preserve">Art. 226. VIOLAREA VIEŢII PRIVATE</w:t>
      </w:r>
    </w:p>
    <w:p>
      <w:pPr>
        <w:jc w:val="left"/>
        <w:spacing w:line="240" w:lineRule="auto"/>
      </w:pPr>
      <w:r>
        <w:rPr>
          <w:rFonts w:ascii="Times New Roman CE" w:cs="Times New Roman CE" w:hAnsi="Times New Roman CE"/>
          <w:b/>
          <w:i/>
          <w:sz w:val="28"/>
        </w:rPr>
        <w:t xml:space="preserve">(1) Atingerea adusă vieţii private, fără drept, prin fotografierea, captarea sau înregistrarea de imagini, ascultarea cu mijloace tehnice sau înregistrarea audio a unei persoane aflate într-o</w:t>
      </w:r>
    </w:p>
    <w:p>
      <w:pPr>
        <w:jc w:val="left"/>
        <w:spacing w:line="240" w:lineRule="auto"/>
      </w:pPr>
      <w:r>
        <w:rPr>
          <w:rFonts w:ascii="Times New Roman CE" w:cs="Times New Roman CE" w:hAnsi="Times New Roman CE"/>
          <w:b/>
          <w:i/>
          <w:sz w:val="28"/>
        </w:rPr>
        <w:t xml:space="preserve">locuinţă sau încăpere ori dependinţă ţinând de aceasta sau a unei convorbiri private se pedepseşte cu închisoare de la o lună la 6 luni sau cu amendă.</w:t>
      </w:r>
    </w:p>
    <w:p>
      <w:pPr>
        <w:jc w:val="left"/>
        <w:spacing w:line="240" w:lineRule="auto"/>
      </w:pPr>
      <w:r>
        <w:rPr>
          <w:rFonts w:ascii="Times New Roman CE" w:cs="Times New Roman CE" w:hAnsi="Times New Roman CE"/>
          <w:b/>
          <w:i/>
          <w:sz w:val="28"/>
        </w:rPr>
        <w:t xml:space="preserve">(2) Divulgarea, difuzarea, prezentarea sau transmiterea, fără drept, a sunetelor, convorbirilor ori a imaginilor prevăzute în alin.(1) către o altă persoană sau către public, se pedepseşte cu</w:t>
      </w:r>
    </w:p>
    <w:p>
      <w:pPr>
        <w:jc w:val="left"/>
        <w:spacing w:line="240" w:lineRule="auto"/>
      </w:pPr>
      <w:r>
        <w:rPr>
          <w:rFonts w:ascii="Times New Roman CE" w:cs="Times New Roman CE" w:hAnsi="Times New Roman CE"/>
          <w:b/>
          <w:i/>
          <w:sz w:val="28"/>
        </w:rPr>
        <w:t xml:space="preserve">închisoare de la 3 luni la 2 ani sau cu amendă.</w:t>
      </w:r>
    </w:p>
    <w:p>
      <w:pPr>
        <w:jc w:val="left"/>
        <w:spacing w:line="240" w:lineRule="auto"/>
      </w:pPr>
      <w:r>
        <w:rPr>
          <w:rFonts w:ascii="Times New Roman CE" w:cs="Times New Roman CE" w:hAnsi="Times New Roman CE"/>
          <w:b/>
          <w:i/>
          <w:sz w:val="28"/>
        </w:rPr>
        <w:t xml:space="preserve">(3) Acţiunea penală se pune în mişcare la plângerea prealabilă a</w:t>
      </w:r>
    </w:p>
    <w:p>
      <w:pPr>
        <w:jc w:val="left"/>
        <w:spacing w:line="240" w:lineRule="auto"/>
      </w:pPr>
      <w:r>
        <w:rPr>
          <w:rFonts w:ascii="Times New Roman CE" w:cs="Times New Roman CE" w:hAnsi="Times New Roman CE"/>
          <w:b/>
          <w:i/>
          <w:sz w:val="28"/>
        </w:rPr>
        <w:t xml:space="preserve">persoanei vătămate.</w:t>
      </w:r>
    </w:p>
    <w:p>
      <w:pPr>
        <w:jc w:val="left"/>
        <w:spacing w:line="240" w:lineRule="auto"/>
      </w:pPr>
      <w:r>
        <w:rPr>
          <w:rFonts w:ascii="Times New Roman CE" w:cs="Times New Roman CE" w:hAnsi="Times New Roman CE"/>
          <w:b/>
          <w:i/>
          <w:sz w:val="28"/>
        </w:rPr>
        <w:t xml:space="preserve">(4) Nu constituie infracţiune fapta săvârşită:</w:t>
      </w:r>
    </w:p>
    <w:p>
      <w:pPr>
        <w:jc w:val="left"/>
        <w:spacing w:line="240" w:lineRule="auto"/>
      </w:pPr>
      <w:r>
        <w:rPr>
          <w:rFonts w:ascii="Times New Roman CE" w:cs="Times New Roman CE" w:hAnsi="Times New Roman CE"/>
          <w:b/>
          <w:i/>
          <w:sz w:val="28"/>
        </w:rPr>
        <w:t xml:space="preserve">a) de către cel care a participat la întâlnirea cu persoana vătămată în cadrul căreia au fost surprinse sunetele, convorbirile sau imaginile, dacă justifică un interes legitim;</w:t>
      </w:r>
    </w:p>
    <w:p>
      <w:pPr>
        <w:jc w:val="left"/>
        <w:spacing w:line="240" w:lineRule="auto"/>
      </w:pPr>
      <w:r>
        <w:rPr>
          <w:rFonts w:ascii="Times New Roman CE" w:cs="Times New Roman CE" w:hAnsi="Times New Roman CE"/>
          <w:b/>
          <w:i/>
          <w:sz w:val="28"/>
        </w:rPr>
        <w:t xml:space="preserve">b) dacă persoana vătămată a acţionat explicit cu intenţia de a fi văzută ori auzită de făptuitor;</w:t>
      </w:r>
    </w:p>
    <w:p>
      <w:pPr>
        <w:jc w:val="left"/>
        <w:spacing w:line="240" w:lineRule="auto"/>
      </w:pPr>
      <w:r>
        <w:rPr>
          <w:rFonts w:ascii="Times New Roman CE" w:cs="Times New Roman CE" w:hAnsi="Times New Roman CE"/>
          <w:b/>
          <w:i/>
          <w:sz w:val="28"/>
        </w:rPr>
        <w:t xml:space="preserve">c) dacă făptuitorul surprinde săvârşirea unei infracţiuni sau contribuie la dovedirea săvârşirii unei infracţiuni;</w:t>
      </w:r>
    </w:p>
    <w:p>
      <w:pPr>
        <w:jc w:val="left"/>
        <w:spacing w:line="240" w:lineRule="auto"/>
      </w:pPr>
      <w:r>
        <w:rPr>
          <w:rFonts w:ascii="Times New Roman CE" w:cs="Times New Roman CE" w:hAnsi="Times New Roman CE"/>
          <w:b/>
          <w:i/>
          <w:sz w:val="28"/>
        </w:rPr>
        <w:t xml:space="preserve">d) dacă surprinde fapte de interes public, care au semnificaţie pentru viaţa comunităţii şi a căror divulgare prezintă avantaje publice mai mari decât prejudiciul produs persoanei vătămate.</w:t>
      </w:r>
    </w:p>
    <w:p>
      <w:pPr>
        <w:jc w:val="left"/>
        <w:spacing w:line="240" w:lineRule="auto"/>
      </w:pPr>
      <w:r>
        <w:rPr>
          <w:rFonts w:ascii="Times New Roman CE" w:cs="Times New Roman CE" w:hAnsi="Times New Roman CE"/>
          <w:b/>
          <w:i/>
          <w:sz w:val="28"/>
        </w:rPr>
        <w:t xml:space="preserve">(5) Plasarea, fără drept, de mijloace tehnice de înregistrare audio sau video, în scopul săvârşirii faptelor prevăzute în alin.</w:t>
      </w:r>
    </w:p>
    <w:p>
      <w:pPr>
        <w:jc w:val="left"/>
        <w:spacing w:line="240" w:lineRule="auto"/>
      </w:pPr>
      <w:r>
        <w:rPr>
          <w:rFonts w:ascii="Times New Roman CE" w:cs="Times New Roman CE" w:hAnsi="Times New Roman CE"/>
          <w:b/>
          <w:i/>
          <w:sz w:val="28"/>
        </w:rPr>
        <w:t xml:space="preserve">(1) şi alin. (2), se pedepseşte cu închisoarea de la unu la 5 ani.</w:t>
      </w:r>
    </w:p>
    <w:p>
      <w:pPr>
        <w:jc w:val="left"/>
        <w:spacing w:line="240" w:lineRule="auto"/>
      </w:pPr>
      <w:r>
        <w:rPr>
          <w:rFonts w:ascii="Times New Roman CE" w:cs="Times New Roman CE" w:hAnsi="Times New Roman CE"/>
          <w:b/>
          <w:sz w:val="28"/>
        </w:rPr>
        <w:t xml:space="preserve">Comentariu: 	</w:t>
      </w:r>
      <w:r>
        <w:rPr>
          <w:rFonts w:ascii="Times New Roman CE" w:cs="Times New Roman CE" w:hAnsi="Times New Roman CE"/>
          <w:sz w:val="28"/>
        </w:rPr>
        <w:t xml:space="preserve">Având în vedere realităţile societăţii româneşti, N.C.p. a trebuit să răspundă problemelor apărute privind dreptul la viaţă privată, precum şi exigenţelor Convenţiei Europene a Drepturilor Omului. Astfel, potrivit art. 8 din Convenţia Europeană a Drepturilor Omului, orice persoană are dreptul la respectarea vieţii sale private şi de familie, a domiciliului său şi a corespondenţei sale şi nu este admis amestecul unei autorităţi publice în exercitarea acestui drept decât în măsura în care acest amestec este prevăzut de lege şi dacă constituie o măsură care, într-o societate democratică, este necesară pentru securitatea naţională, siguranţa publică, bunăstarea economică a ţării, apărarea ordinii şi prevenirea faptelor penale, protejarea sănătăţii sau a moralei, ori protejarea drepturilor şi libertăţilor altora.</w:t>
      </w:r>
    </w:p>
    <w:p>
      <w:pPr>
        <w:jc w:val="left"/>
        <w:spacing w:line="240" w:lineRule="auto"/>
      </w:pPr>
      <w:r>
        <w:rPr>
          <w:rFonts w:ascii="Times New Roman CE" w:cs="Times New Roman CE" w:hAnsi="Times New Roman CE"/>
          <w:sz w:val="28"/>
        </w:rPr>
        <w:t xml:space="preserve">Statul este obligat să se asigure nu numai că agenţii săi nu comit ingerinţe în viaţa privată a unei persoane ci şi neamestecul unor persoane în viaţa privată a altei persoane, prin edictarea de norme care să sancţioneze un asemenea amestec ce are loc fără drept.</w:t>
      </w:r>
    </w:p>
    <w:p>
      <w:pPr>
        <w:jc w:val="left"/>
        <w:spacing w:line="240" w:lineRule="auto"/>
      </w:pPr>
      <w:r>
        <w:rPr>
          <w:rFonts w:ascii="Times New Roman CE" w:cs="Times New Roman CE" w:hAnsi="Times New Roman CE"/>
          <w:sz w:val="28"/>
        </w:rPr>
        <w:t xml:space="preserve">Practic, textul incriminează </w:t>
      </w:r>
      <w:r>
        <w:rPr>
          <w:rFonts w:ascii="Times New Roman CE" w:cs="Times New Roman CE" w:hAnsi="Times New Roman CE"/>
          <w:b/>
          <w:sz w:val="28"/>
        </w:rPr>
        <w:t xml:space="preserve">trei infracţiuni distincte</w:t>
      </w:r>
      <w:r>
        <w:rPr>
          <w:rFonts w:ascii="Times New Roman CE" w:cs="Times New Roman CE" w:hAnsi="Times New Roman CE"/>
          <w:sz w:val="28"/>
        </w:rPr>
        <w:t xml:space="preserve">, prevăzute la alin.1, 2 şi alin. 5, ce pot fi </w:t>
      </w:r>
      <w:r>
        <w:rPr>
          <w:rFonts w:ascii="Times New Roman CE" w:cs="Times New Roman CE" w:hAnsi="Times New Roman CE"/>
          <w:b/>
          <w:sz w:val="28"/>
        </w:rPr>
        <w:t xml:space="preserve">comise în concurs</w:t>
      </w:r>
      <w:r>
        <w:rPr>
          <w:rFonts w:ascii="Times New Roman CE" w:cs="Times New Roman CE" w:hAnsi="Times New Roman CE"/>
          <w:sz w:val="28"/>
        </w:rPr>
        <w:t xml:space="preserve"> de acelaşi făptuitor, în situaţia în care acţionează distinct şi potrivit celor trei texte de lege.</w:t>
      </w:r>
    </w:p>
    <w:p>
      <w:pPr>
        <w:jc w:val="left"/>
        <w:spacing w:line="240" w:lineRule="auto"/>
      </w:pPr>
      <w:r>
        <w:rPr>
          <w:rFonts w:ascii="Times New Roman CE" w:cs="Times New Roman CE" w:hAnsi="Times New Roman CE"/>
          <w:sz w:val="28"/>
        </w:rPr>
        <w:t xml:space="preserve">1. Primul alineat incriminează acţiunea de a înregistra prin orice mijloace tehnice imagini sau convorbiri ale unei persoane, </w:t>
      </w:r>
      <w:r>
        <w:rPr>
          <w:rFonts w:ascii="Times New Roman CE" w:cs="Times New Roman CE" w:hAnsi="Times New Roman CE"/>
          <w:b/>
          <w:sz w:val="28"/>
        </w:rPr>
        <w:t xml:space="preserve">fără drept</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Fapta poate fi comisă prin acţiunea de:</w:t>
      </w:r>
    </w:p>
    <w:p>
      <w:pPr>
        <w:jc w:val="left"/>
        <w:spacing w:line="240" w:lineRule="auto"/>
      </w:pPr>
      <w:r>
        <w:rPr>
          <w:rFonts w:ascii="Times New Roman CE" w:cs="Times New Roman CE" w:hAnsi="Times New Roman CE"/>
          <w:sz w:val="28"/>
        </w:rPr>
        <w:t xml:space="preserve">- </w:t>
      </w:r>
      <w:r>
        <w:rPr>
          <w:rFonts w:ascii="Times New Roman CE" w:cs="Times New Roman CE" w:hAnsi="Times New Roman CE"/>
          <w:b/>
          <w:sz w:val="28"/>
        </w:rPr>
        <w:t xml:space="preserve">fotografiere</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w:t>
      </w:r>
      <w:r>
        <w:rPr>
          <w:rFonts w:ascii="Times New Roman CE" w:cs="Times New Roman CE" w:hAnsi="Times New Roman CE"/>
          <w:b/>
          <w:sz w:val="28"/>
        </w:rPr>
        <w:t xml:space="preserve">captare sau înregistrare de imagini</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w:t>
      </w:r>
      <w:r>
        <w:rPr>
          <w:rFonts w:ascii="Times New Roman CE" w:cs="Times New Roman CE" w:hAnsi="Times New Roman CE"/>
          <w:b/>
          <w:sz w:val="28"/>
        </w:rPr>
        <w:t xml:space="preserve">ascultare cu mijloace tehnice</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w:t>
      </w:r>
      <w:r>
        <w:rPr>
          <w:rFonts w:ascii="Times New Roman CE" w:cs="Times New Roman CE" w:hAnsi="Times New Roman CE"/>
          <w:b/>
          <w:sz w:val="28"/>
        </w:rPr>
        <w:t xml:space="preserve">înregistrare audio</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Elementul material al laturii obiective trebuie să îndeplinească </w:t>
      </w:r>
      <w:r>
        <w:rPr>
          <w:rFonts w:ascii="Times New Roman CE" w:cs="Times New Roman CE" w:hAnsi="Times New Roman CE"/>
          <w:b/>
          <w:sz w:val="28"/>
        </w:rPr>
        <w:t xml:space="preserve">cerinţa esenţială, alternativă, </w:t>
      </w:r>
      <w:r>
        <w:rPr>
          <w:rFonts w:ascii="Times New Roman CE" w:cs="Times New Roman CE" w:hAnsi="Times New Roman CE"/>
          <w:sz w:val="28"/>
        </w:rPr>
        <w:t xml:space="preserve">ca:</w:t>
      </w:r>
    </w:p>
    <w:p>
      <w:pPr>
        <w:jc w:val="left"/>
        <w:spacing w:line="240" w:lineRule="auto"/>
      </w:pPr>
      <w:r>
        <w:rPr>
          <w:rFonts w:ascii="Times New Roman CE" w:cs="Times New Roman CE" w:hAnsi="Times New Roman CE"/>
          <w:sz w:val="28"/>
        </w:rPr>
        <w:t xml:space="preserve">- </w:t>
      </w:r>
      <w:r>
        <w:rPr>
          <w:rFonts w:ascii="Times New Roman CE" w:cs="Times New Roman CE" w:hAnsi="Times New Roman CE"/>
          <w:b/>
          <w:sz w:val="28"/>
        </w:rPr>
        <w:t xml:space="preserve">subiectul pasiv al infracţiunii să se afle într-o locuinţă, încăpere sau dependinţă ţinând de</w:t>
      </w:r>
    </w:p>
    <w:p>
      <w:pPr>
        <w:jc w:val="left"/>
        <w:spacing w:line="240" w:lineRule="auto"/>
      </w:pPr>
      <w:r>
        <w:rPr>
          <w:rFonts w:ascii="Times New Roman CE" w:cs="Times New Roman CE" w:hAnsi="Times New Roman CE"/>
          <w:b/>
          <w:sz w:val="28"/>
        </w:rPr>
        <w:t xml:space="preserve">aceasta</w:t>
      </w:r>
      <w:r>
        <w:rPr>
          <w:rFonts w:ascii="Times New Roman CE" w:cs="Times New Roman CE" w:hAnsi="Times New Roman CE"/>
          <w:sz w:val="28"/>
        </w:rPr>
        <w:t xml:space="preserve">; </w:t>
      </w:r>
    </w:p>
    <w:p>
      <w:pPr>
        <w:jc w:val="left"/>
        <w:spacing w:line="240" w:lineRule="auto"/>
      </w:pPr>
      <w:r>
        <w:rPr>
          <w:rFonts w:ascii="Times New Roman CE" w:cs="Times New Roman CE" w:hAnsi="Times New Roman CE"/>
          <w:sz w:val="28"/>
        </w:rPr>
        <w:t xml:space="preserve">- </w:t>
      </w:r>
      <w:r>
        <w:rPr>
          <w:rFonts w:ascii="Times New Roman CE" w:cs="Times New Roman CE" w:hAnsi="Times New Roman CE"/>
          <w:b/>
          <w:sz w:val="28"/>
        </w:rPr>
        <w:t xml:space="preserve">convorbirea</w:t>
      </w:r>
      <w:r>
        <w:rPr>
          <w:rFonts w:ascii="Times New Roman CE" w:cs="Times New Roman CE" w:hAnsi="Times New Roman CE"/>
          <w:sz w:val="28"/>
        </w:rPr>
        <w:t xml:space="preserve"> ascultată sau înregistrată </w:t>
      </w:r>
      <w:r>
        <w:rPr>
          <w:rFonts w:ascii="Times New Roman CE" w:cs="Times New Roman CE" w:hAnsi="Times New Roman CE"/>
          <w:b/>
          <w:sz w:val="28"/>
        </w:rPr>
        <w:t xml:space="preserve">să fie privată</w:t>
      </w:r>
      <w:r>
        <w:rPr>
          <w:rFonts w:ascii="Times New Roman CE" w:cs="Times New Roman CE" w:hAnsi="Times New Roman CE"/>
          <w:sz w:val="28"/>
        </w:rPr>
        <w:t xml:space="preserve">.</w:t>
      </w:r>
    </w:p>
    <w:p>
      <w:pPr>
        <w:jc w:val="left"/>
        <w:spacing w:line="240" w:lineRule="auto"/>
      </w:pPr>
    </w:p>
    <w:p>
      <w:pPr>
        <w:jc w:val="left"/>
        <w:spacing w:line="240" w:lineRule="auto"/>
      </w:pPr>
      <w:r>
        <w:rPr>
          <w:rFonts w:ascii="Times New Roman CE" w:cs="Times New Roman CE" w:hAnsi="Times New Roman CE"/>
          <w:b/>
          <w:sz w:val="28"/>
        </w:rPr>
        <w:t xml:space="preserve">Subiect activ</w:t>
      </w:r>
      <w:r>
        <w:rPr>
          <w:rFonts w:ascii="Times New Roman CE" w:cs="Times New Roman CE" w:hAnsi="Times New Roman CE"/>
          <w:sz w:val="28"/>
        </w:rPr>
        <w:t xml:space="preserve"> al infracţiunii poate fi orice persoană, inclusiv proprietarul sau cel care locuieşte în acel imobil, atunci când persoana vătămată se află în locuinţa acesteia.</w:t>
      </w:r>
    </w:p>
    <w:p>
      <w:pPr>
        <w:jc w:val="left"/>
        <w:spacing w:line="240" w:lineRule="auto"/>
      </w:pPr>
      <w:r>
        <w:rPr>
          <w:rFonts w:ascii="Times New Roman CE" w:cs="Times New Roman CE" w:hAnsi="Times New Roman CE"/>
          <w:b/>
          <w:i/>
          <w:sz w:val="28"/>
        </w:rPr>
        <w:t xml:space="preserve">	În situaţia în care fapta priveşte o convorbire privată, aceasta poate avea loc chiar într-un loc public, subiect activ al infracţiunii putând fi participantul la acea convorbire cu persoana vătămată sau o terţă persoană.</w:t>
      </w:r>
    </w:p>
    <w:p>
      <w:pPr>
        <w:jc w:val="left"/>
        <w:spacing w:line="240" w:lineRule="auto"/>
      </w:pPr>
    </w:p>
    <w:p>
      <w:pPr>
        <w:jc w:val="left"/>
        <w:spacing w:line="240" w:lineRule="auto"/>
      </w:pPr>
      <w:r>
        <w:rPr>
          <w:rFonts w:ascii="Times New Roman CE" w:cs="Times New Roman CE" w:hAnsi="Times New Roman CE"/>
          <w:sz w:val="28"/>
        </w:rPr>
        <w:t xml:space="preserve">2. Cea de-a doua faptă incriminată este </w:t>
      </w:r>
      <w:r>
        <w:rPr>
          <w:rFonts w:ascii="Times New Roman CE" w:cs="Times New Roman CE" w:hAnsi="Times New Roman CE"/>
          <w:b/>
          <w:sz w:val="28"/>
        </w:rPr>
        <w:t xml:space="preserve">divulgarea sau transmiterea către alte persoane a informaţiilor obţinute prin acţiunile incriminate la alin. 1 al textului</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Elementul material al infracţiunii îl constituie: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divulgarea sunetelor, convorbirilor sau imaginilor</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difuzarea sunetelor, convorbirilor sau imaginilor</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prezentarea sunetelor, convorbirilor sau</w:t>
      </w:r>
    </w:p>
    <w:p>
      <w:pPr>
        <w:jc w:val="left"/>
        <w:spacing w:line="240" w:lineRule="auto"/>
      </w:pPr>
      <w:r>
        <w:rPr>
          <w:rFonts w:ascii="Times New Roman CE" w:cs="Times New Roman CE" w:hAnsi="Times New Roman CE"/>
          <w:b/>
          <w:sz w:val="28"/>
        </w:rPr>
        <w:t xml:space="preserve">imaginilor</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transmiterea sunetelor, convorbirilor sau</w:t>
      </w:r>
    </w:p>
    <w:p>
      <w:pPr>
        <w:jc w:val="left"/>
        <w:spacing w:line="240" w:lineRule="auto"/>
      </w:pPr>
      <w:r>
        <w:rPr>
          <w:rFonts w:ascii="Times New Roman CE" w:cs="Times New Roman CE" w:hAnsi="Times New Roman CE"/>
          <w:b/>
          <w:sz w:val="28"/>
        </w:rPr>
        <w:t xml:space="preserve">imaginilor</w:t>
      </w:r>
      <w:r>
        <w:rPr>
          <w:rFonts w:ascii="Times New Roman CE" w:cs="Times New Roman CE" w:hAnsi="Times New Roman CE"/>
          <w:sz w:val="28"/>
        </w:rPr>
        <w:t xml:space="preserve">.</w:t>
      </w:r>
    </w:p>
    <w:p>
      <w:pPr>
        <w:jc w:val="left"/>
        <w:spacing w:line="240" w:lineRule="auto"/>
      </w:pPr>
    </w:p>
    <w:p>
      <w:pPr>
        <w:jc w:val="left"/>
        <w:spacing w:line="240" w:lineRule="auto"/>
      </w:pPr>
      <w:r>
        <w:rPr>
          <w:rFonts w:ascii="Times New Roman CE" w:cs="Times New Roman CE" w:hAnsi="Times New Roman CE"/>
          <w:b/>
          <w:sz w:val="28"/>
        </w:rPr>
        <w:t xml:space="preserve">Divulgarea</w:t>
      </w:r>
      <w:r>
        <w:rPr>
          <w:rFonts w:ascii="Times New Roman CE" w:cs="Times New Roman CE" w:hAnsi="Times New Roman CE"/>
          <w:sz w:val="28"/>
        </w:rPr>
        <w:t xml:space="preserve"> poate avea în orice mod, inclusiv prin simpla informare a unei persoane despre existenţa şi conţinutul acestora, fără prezentarea efectivă a sunetelor, convorbirilor sau imaginilor.</w:t>
      </w:r>
    </w:p>
    <w:p>
      <w:pPr>
        <w:jc w:val="left"/>
        <w:spacing w:line="240" w:lineRule="auto"/>
      </w:pPr>
      <w:r>
        <w:rPr>
          <w:rFonts w:ascii="Times New Roman CE" w:cs="Times New Roman CE" w:hAnsi="Times New Roman CE"/>
          <w:b/>
          <w:sz w:val="28"/>
        </w:rPr>
        <w:t xml:space="preserve">Difuzarea</w:t>
      </w:r>
      <w:r>
        <w:rPr>
          <w:rFonts w:ascii="Times New Roman CE" w:cs="Times New Roman CE" w:hAnsi="Times New Roman CE"/>
          <w:sz w:val="28"/>
        </w:rPr>
        <w:t xml:space="preserve"> presupune utilizarea unor mijloace de transmitere către public – ziare, emisiuni televizate ori audio, sau afişarea în locuri publice, vizibile ori pe internet.</w:t>
      </w:r>
    </w:p>
    <w:p>
      <w:pPr>
        <w:jc w:val="left"/>
        <w:spacing w:line="240" w:lineRule="auto"/>
      </w:pPr>
      <w:r>
        <w:rPr>
          <w:rFonts w:ascii="Times New Roman CE" w:cs="Times New Roman CE" w:hAnsi="Times New Roman CE"/>
          <w:b/>
          <w:sz w:val="28"/>
        </w:rPr>
        <w:t xml:space="preserve">Prezentarea</w:t>
      </w:r>
      <w:r>
        <w:rPr>
          <w:rFonts w:ascii="Times New Roman CE" w:cs="Times New Roman CE" w:hAnsi="Times New Roman CE"/>
          <w:sz w:val="28"/>
        </w:rPr>
        <w:t xml:space="preserve"> poate avea loc fie către o singură persoană, fie către mai multe, spre exemplu în cadrul unei reuniuni şi presupune audiţie sau vizionare, fără încredinţarea suportului pe care se află sunetele, convorbirile sau imaginile.</w:t>
      </w:r>
    </w:p>
    <w:p>
      <w:pPr>
        <w:jc w:val="left"/>
        <w:spacing w:line="240" w:lineRule="auto"/>
      </w:pPr>
      <w:r>
        <w:rPr>
          <w:rFonts w:ascii="Times New Roman CE" w:cs="Times New Roman CE" w:hAnsi="Times New Roman CE"/>
          <w:b/>
          <w:sz w:val="28"/>
        </w:rPr>
        <w:t xml:space="preserve">Transmiterea</w:t>
      </w:r>
      <w:r>
        <w:rPr>
          <w:rFonts w:ascii="Times New Roman CE" w:cs="Times New Roman CE" w:hAnsi="Times New Roman CE"/>
          <w:sz w:val="28"/>
        </w:rPr>
        <w:t xml:space="preserve"> presupune încredinţarea suportului pe care se află aceste sunete, convorbiri sau imagini sau încredinţarea lor prin orice mijloc (spre exemplu, prin intermediul poştei electronice) unui număr limitat de persoane.</w:t>
      </w:r>
    </w:p>
    <w:p>
      <w:pPr>
        <w:jc w:val="left"/>
        <w:spacing w:line="240" w:lineRule="auto"/>
      </w:pPr>
    </w:p>
    <w:p>
      <w:pPr>
        <w:jc w:val="left"/>
        <w:spacing w:line="240" w:lineRule="auto"/>
      </w:pPr>
      <w:r>
        <w:rPr>
          <w:rFonts w:ascii="Times New Roman CE" w:cs="Times New Roman CE" w:hAnsi="Times New Roman CE"/>
          <w:sz w:val="28"/>
        </w:rPr>
        <w:t xml:space="preserve">Obţinerea acestor informaţii trebuie să fi avut loc prin acţiunile enumerate la alin. 1 al textului, iar divulgarea, difuzarea, prezentarea sau transmiterea acestora să se facă, alternativ, către: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o altă persoană</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public</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b/>
          <w:sz w:val="28"/>
        </w:rPr>
        <w:t xml:space="preserve">	Cerinţa esenţială comună</w:t>
      </w:r>
      <w:r>
        <w:rPr>
          <w:rFonts w:ascii="Times New Roman CE" w:cs="Times New Roman CE" w:hAnsi="Times New Roman CE"/>
          <w:sz w:val="28"/>
        </w:rPr>
        <w:t xml:space="preserve"> a tuturor acestor acţiuni este ca ele să se desfăşoare fără drept, adică fără autorizarea victimei şi fără autorizarea instituţiilor abilitate (spre exemplu, în cadrul unei</w:t>
      </w:r>
    </w:p>
    <w:p>
      <w:pPr>
        <w:jc w:val="left"/>
        <w:spacing w:line="240" w:lineRule="auto"/>
      </w:pPr>
      <w:r>
        <w:rPr>
          <w:rFonts w:ascii="Times New Roman CE" w:cs="Times New Roman CE" w:hAnsi="Times New Roman CE"/>
          <w:sz w:val="28"/>
        </w:rPr>
        <w:t xml:space="preserve">anchete penale).</w:t>
      </w:r>
    </w:p>
    <w:p>
      <w:pPr>
        <w:jc w:val="left"/>
        <w:spacing w:line="240" w:lineRule="auto"/>
      </w:pPr>
      <w:r>
        <w:rPr>
          <w:rFonts w:ascii="Times New Roman CE" w:cs="Times New Roman CE" w:hAnsi="Times New Roman CE"/>
          <w:b/>
          <w:i/>
          <w:sz w:val="28"/>
        </w:rPr>
        <w:t xml:space="preserve">	Acţiunea penală se pune în mişcare la plângerea prealabilă a persoanei vătămate, pentru ambele infracţiuni prevăzute la alin.1 şi 2.</w:t>
      </w:r>
    </w:p>
    <w:p>
      <w:pPr>
        <w:jc w:val="left"/>
        <w:spacing w:line="240" w:lineRule="auto"/>
      </w:pPr>
      <w:r>
        <w:rPr>
          <w:rFonts w:ascii="Times New Roman CE" w:cs="Times New Roman CE" w:hAnsi="Times New Roman CE"/>
          <w:sz w:val="28"/>
        </w:rPr>
        <w:t xml:space="preserve">	În cazul ambelor infracţiuni prevăzute de alin.1 şi 2, fapta nu se pedepseşte întrucât legea prevede în mod expres că </w:t>
      </w:r>
      <w:r>
        <w:rPr>
          <w:rFonts w:ascii="Times New Roman CE" w:cs="Times New Roman CE" w:hAnsi="Times New Roman CE"/>
          <w:b/>
          <w:i/>
          <w:sz w:val="28"/>
        </w:rPr>
        <w:t xml:space="preserve">fapta nu constituie infracţiune</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 atunci când este comisă de către cel care a participat la întâlnirea cu persoana vătămată în cadrul căreia au fost surprinse sunetele, convorbirile sau imaginile, dacă justifică un interes legitim (spre exemplu, prezintă înregistrările ca probe în cadrul unei investigaţii penale);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dacă persoana vătămată a acţionat explicit cu intenţia</w:t>
      </w:r>
    </w:p>
    <w:p>
      <w:pPr>
        <w:jc w:val="left"/>
        <w:spacing w:line="240" w:lineRule="auto"/>
      </w:pPr>
      <w:r>
        <w:rPr>
          <w:rFonts w:ascii="Times New Roman CE" w:cs="Times New Roman CE" w:hAnsi="Times New Roman CE"/>
          <w:b/>
          <w:sz w:val="28"/>
        </w:rPr>
        <w:t xml:space="preserve">de a fi văzută ori auzită de făptuitor</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dacă făptuitorul surprinde săvârşirea unei infracţiuni</w:t>
      </w:r>
    </w:p>
    <w:p>
      <w:pPr>
        <w:jc w:val="left"/>
        <w:spacing w:line="240" w:lineRule="auto"/>
      </w:pPr>
      <w:r>
        <w:rPr>
          <w:rFonts w:ascii="Times New Roman CE" w:cs="Times New Roman CE" w:hAnsi="Times New Roman CE"/>
          <w:b/>
          <w:sz w:val="28"/>
        </w:rPr>
        <w:t xml:space="preserve">sau contribuie la dovedirea săvârşirii unei infracţiuni</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 </w:t>
      </w:r>
      <w:r>
        <w:rPr>
          <w:rFonts w:ascii="Times New Roman CE" w:cs="Times New Roman CE" w:hAnsi="Times New Roman CE"/>
          <w:b/>
          <w:sz w:val="28"/>
        </w:rPr>
        <w:t xml:space="preserve">dacă surprinde fapte de interes public</w:t>
      </w:r>
      <w:r>
        <w:rPr>
          <w:rFonts w:ascii="Times New Roman CE" w:cs="Times New Roman CE" w:hAnsi="Times New Roman CE"/>
          <w:sz w:val="28"/>
        </w:rPr>
        <w:t xml:space="preserve">, care au semnificaţie pentru viaţa comunităţii şi a căror divulgare prezintă avantaje publice mai mari decât prejudiciul produs persoanei vătămate; în această împrejurare interesul public prevalează faţă de interesul protecţiei vieţii private a unei persoane.</w:t>
      </w:r>
    </w:p>
    <w:p>
      <w:pPr>
        <w:jc w:val="left"/>
        <w:spacing w:line="240" w:lineRule="auto"/>
      </w:pPr>
    </w:p>
    <w:p>
      <w:pPr>
        <w:jc w:val="left"/>
        <w:spacing w:line="240" w:lineRule="auto"/>
      </w:pPr>
      <w:r>
        <w:rPr>
          <w:rFonts w:ascii="Times New Roman CE" w:cs="Times New Roman CE" w:hAnsi="Times New Roman CE"/>
          <w:sz w:val="28"/>
        </w:rPr>
        <w:t xml:space="preserve">	3. Alin.5 incriminează cea de-a treia infracţiune prevăzută de acest text de lege.</w:t>
      </w:r>
    </w:p>
    <w:p>
      <w:pPr>
        <w:jc w:val="left"/>
        <w:spacing w:line="240" w:lineRule="auto"/>
      </w:pPr>
      <w:r>
        <w:rPr>
          <w:rFonts w:ascii="Times New Roman CE" w:cs="Times New Roman CE" w:hAnsi="Times New Roman CE"/>
          <w:sz w:val="28"/>
        </w:rPr>
        <w:t xml:space="preserve">	Fapta poate fi comisă prin acţiunea de </w:t>
      </w:r>
      <w:r>
        <w:rPr>
          <w:rFonts w:ascii="Times New Roman CE" w:cs="Times New Roman CE" w:hAnsi="Times New Roman CE"/>
          <w:b/>
          <w:i/>
          <w:sz w:val="28"/>
        </w:rPr>
        <w:t xml:space="preserve">a plasa mijloace tehnice de înregistrare audio sau video</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Plasarea presupune montarea de astfel de mijloace tehnice în locuinţa persoanei vătămate, într-o încăpere sau dependinţă ce ţine de acestea, ori chiar în afara acestora, dar în aşa fel încât să fie captate sunete, imagini sau convorbiri din locuinţa persoanei vătămate, dintr-o încăpere sau dependinţe ce ţin de aceasta. De asemenea, plasarea de asemenea mijloace poate avea loc asupra unei persoane, inclusiv asupra persoanei vătămate, însă fără ştiinţa acesteia.</w:t>
      </w:r>
    </w:p>
    <w:p>
      <w:pPr>
        <w:jc w:val="left"/>
        <w:spacing w:line="240" w:lineRule="auto"/>
      </w:pPr>
      <w:r>
        <w:rPr>
          <w:rFonts w:ascii="Times New Roman CE" w:cs="Times New Roman CE" w:hAnsi="Times New Roman CE"/>
          <w:sz w:val="28"/>
        </w:rPr>
        <w:t xml:space="preserve">	În cea de-a doua situaţie la care se referă alin.1, respectiv în situaţia în care obiectul infracţiunii îl constituie o convorbire privată, plasarea poate avea loc chiar în spaţiul public.</w:t>
      </w:r>
    </w:p>
    <w:p>
      <w:pPr>
        <w:jc w:val="left"/>
        <w:spacing w:line="240" w:lineRule="auto"/>
      </w:pPr>
      <w:r>
        <w:rPr>
          <w:rFonts w:ascii="Times New Roman CE" w:cs="Times New Roman CE" w:hAnsi="Times New Roman CE"/>
          <w:sz w:val="28"/>
        </w:rPr>
        <w:t xml:space="preserve">	</w:t>
      </w:r>
      <w:r>
        <w:rPr>
          <w:rFonts w:ascii="Times New Roman CE" w:cs="Times New Roman CE" w:hAnsi="Times New Roman CE"/>
          <w:b/>
          <w:sz w:val="28"/>
        </w:rPr>
        <w:t xml:space="preserve">Cerinţa esenţială</w:t>
      </w:r>
      <w:r>
        <w:rPr>
          <w:rFonts w:ascii="Times New Roman CE" w:cs="Times New Roman CE" w:hAnsi="Times New Roman CE"/>
          <w:sz w:val="28"/>
        </w:rPr>
        <w:t xml:space="preserve"> pentru existenţa elementului material al laturii obiective a infracţiunii o constituie necesitatea ca plasarea mijloacelor de înregistrare audio sau video să fie efectuată </w:t>
      </w:r>
      <w:r>
        <w:rPr>
          <w:rFonts w:ascii="Times New Roman CE" w:cs="Times New Roman CE" w:hAnsi="Times New Roman CE"/>
          <w:b/>
          <w:sz w:val="28"/>
        </w:rPr>
        <w:t xml:space="preserve">fără</w:t>
      </w:r>
    </w:p>
    <w:p>
      <w:pPr>
        <w:jc w:val="left"/>
        <w:spacing w:line="240" w:lineRule="auto"/>
      </w:pPr>
      <w:r>
        <w:rPr>
          <w:rFonts w:ascii="Times New Roman CE" w:cs="Times New Roman CE" w:hAnsi="Times New Roman CE"/>
          <w:b/>
          <w:sz w:val="28"/>
        </w:rPr>
        <w:t xml:space="preserve">drept</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Fapta se comite cu intenţie directă, scopul fiind calificat –</w:t>
      </w:r>
    </w:p>
    <w:p>
      <w:pPr>
        <w:jc w:val="left"/>
        <w:spacing w:line="240" w:lineRule="auto"/>
      </w:pPr>
      <w:r>
        <w:rPr>
          <w:rFonts w:ascii="Times New Roman CE" w:cs="Times New Roman CE" w:hAnsi="Times New Roman CE"/>
          <w:sz w:val="28"/>
        </w:rPr>
        <w:t xml:space="preserve">acela al comiterii infracţiunilor prevăzute la alin.1 sau alin.2 al textului de lege, fără să fie necesar ca acestea să fie comise. În situaţia în care făptuitorul utilizează aceste mijloace tehnice în scopul prevăzut de lege, aşa cum am arătat, fapta va fi comisă în concurs cu infracţiunea prevăzută la alin. 1 şi, după caz, aceea</w:t>
      </w:r>
    </w:p>
    <w:p>
      <w:pPr>
        <w:jc w:val="left"/>
        <w:spacing w:line="240" w:lineRule="auto"/>
      </w:pPr>
      <w:r>
        <w:rPr>
          <w:rFonts w:ascii="Times New Roman CE" w:cs="Times New Roman CE" w:hAnsi="Times New Roman CE"/>
          <w:sz w:val="28"/>
        </w:rPr>
        <w:t xml:space="preserve">prevăzută la alin.2.</w:t>
      </w:r>
    </w:p>
    <w:p>
      <w:pPr>
        <w:jc w:val="left"/>
        <w:spacing w:line="240" w:lineRule="auto"/>
      </w:pPr>
      <w:r>
        <w:rPr>
          <w:rFonts w:ascii="Times New Roman CE" w:cs="Times New Roman CE" w:hAnsi="Times New Roman CE"/>
          <w:b/>
          <w:i/>
          <w:sz w:val="28"/>
        </w:rPr>
        <w:t xml:space="preserve">	De data aceasta, acţiunea penală nu se pune în mişcare la plângerea prealabilă a persoanei vătămate, ci din oficiu</w:t>
      </w:r>
      <w:r>
        <w:rPr>
          <w:rFonts w:ascii="Times New Roman CE" w:cs="Times New Roman CE" w:hAnsi="Times New Roman CE"/>
          <w:sz w:val="28"/>
        </w:rPr>
        <w:t xml:space="preserve">.</w:t>
      </w:r>
    </w:p>
    <w:p>
      <w:pPr>
        <w:jc w:val="left"/>
        <w:spacing w:line="240" w:lineRule="auto"/>
      </w:pPr>
      <w:r>
        <w:rPr>
          <w:rFonts w:ascii="Times New Roman CE" w:cs="Times New Roman CE" w:hAnsi="Times New Roman CE"/>
          <w:sz w:val="28"/>
        </w:rPr>
        <w:t xml:space="preserve">	Dacă infracţiunile prevăzute la alin.1 şi 2 sunt infracţiuni de rezultat, respectiv atingerea adusă vieţii private, infracţiunea prevăzută la alin.3 este o infracţiune de pericol.</w:t>
      </w:r>
    </w:p>
    <w:p>
      <w:pPr>
        <w:jc w:val="left"/>
        <w:spacing w:line="240" w:lineRule="auto"/>
      </w:pPr>
    </w:p>
    <w:p>
      <w:pPr>
        <w:jc w:val="left"/>
        <w:spacing w:line="240" w:lineRule="auto"/>
      </w:pPr>
      <w:r>
        <w:rPr>
          <w:rFonts w:ascii="Times New Roman CE" w:cs="Times New Roman CE" w:hAnsi="Times New Roman CE"/>
          <w:sz w:val="28"/>
        </w:rPr>
        <w:t xml:space="preserve">Citat din "INSTITUŢII ŞI INFRACŢIUNI ÎN NOUL COD PENAL"</w:t>
      </w:r>
    </w:p>
    <w:p>
      <w:pPr>
        <w:jc w:val="left"/>
        <w:spacing w:line="240" w:lineRule="auto"/>
      </w:pPr>
      <w:r>
        <w:rPr>
          <w:rFonts w:ascii="Times New Roman CE" w:cs="Times New Roman CE" w:hAnsi="Times New Roman CE"/>
          <w:sz w:val="28"/>
        </w:rPr>
        <w:t xml:space="preserve">MANUAL PENTRU UZUL FORMATORILOR </w:t>
      </w:r>
      <w:r>
        <w:rPr>
          <w:rFonts w:ascii="Times New Roman CE" w:cs="Times New Roman CE" w:hAnsi="Times New Roman CE"/>
          <w:b/>
          <w:sz w:val="28"/>
        </w:rPr>
        <w:t xml:space="preserve">SNC</w:t>
      </w:r>
    </w:p>
    <w:p>
      <w:pPr>
        <w:jc w:val="left"/>
        <w:spacing w:line="240" w:lineRule="auto"/>
      </w:pPr>
      <w:r>
        <w:rPr>
          <w:rFonts w:ascii="Times New Roman CE" w:cs="Times New Roman CE" w:hAnsi="Times New Roman CE"/>
          <w:sz w:val="28"/>
        </w:rPr>
        <w:t xml:space="preserve">de conf. dr. Florin Streteanu, judecător Raluca Moroşanu</w:t>
      </w:r>
    </w:p>
    <w:p>
      <w:pPr>
        <w:jc w:val="left"/>
        <w:spacing w:line="240" w:lineRule="auto"/>
      </w:pPr>
    </w:p>
    <w:p>
      <w:pPr>
        <w:jc w:val="left"/>
        <w:spacing w:line="240" w:lineRule="auto"/>
      </w:pPr>
    </w:p>
    <w:sectPr>
      <w:pgSz w:w="12240" w:h="15840" w:orient="portrait"/>
      <w:pgMar w:top="1440" w:left="1800" w:right="1800" w:bottom="1440"/>
      <w:cols w:num="1" w:sep="off" w:equalWidth="1"/>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styleId="Arrowhead List">
    <w:name w:val="Arrowhead List"/>
    <w:pPr>
      <w:ind w:hanging="432"/>
      <w:ind w:left="720"/>
    </w:pPr>
    <w:rPr/>
  </w:style>
  <w:style w:styleId="Block Text">
    <w:name w:val="Block Text"/>
    <w:basedOn w:val="Normal"/>
    <w:pPr>
      <w:ind w:left="1440"/>
      <w:ind w:right="1440"/>
      <w:spacing w:after="120"/>
    </w:pPr>
    <w:rPr/>
  </w:style>
  <w:style w:styleId="Box List">
    <w:name w:val="Box List"/>
    <w:pPr>
      <w:ind w:hanging="432"/>
      <w:ind w:left="720"/>
    </w:pPr>
    <w:rPr/>
  </w:style>
  <w:style w:styleId="Bullet List">
    <w:name w:val="Bullet List"/>
    <w:pPr>
      <w:ind w:hanging="432"/>
      <w:ind w:left="720"/>
    </w:pPr>
    <w:rPr/>
  </w:style>
  <w:style w:styleId="Chapter Heading">
    <w:name w:val="Chapter Heading"/>
    <w:basedOn w:val="Numbered Heading 1"/>
    <w:next w:val="Normal"/>
    <w:pPr/>
    <w:rPr/>
  </w:style>
  <w:style w:styleId="Contents 1">
    <w:name w:val="Contents 1"/>
    <w:basedOn w:val="Normal"/>
    <w:next w:val="Normal"/>
    <w:pPr>
      <w:ind w:hanging="432"/>
      <w:ind w:left="720"/>
    </w:pPr>
    <w:rPr/>
  </w:style>
  <w:style w:styleId="Contents 2">
    <w:name w:val="Contents 2"/>
    <w:basedOn w:val="Normal"/>
    <w:next w:val="Normal"/>
    <w:pPr>
      <w:ind w:hanging="432"/>
      <w:ind w:left="1440"/>
    </w:pPr>
    <w:rPr/>
  </w:style>
  <w:style w:styleId="Contents 3">
    <w:name w:val="Contents 3"/>
    <w:basedOn w:val="Normal"/>
    <w:next w:val="Normal"/>
    <w:pPr>
      <w:ind w:hanging="432"/>
      <w:ind w:left="2160"/>
    </w:pPr>
    <w:rPr/>
  </w:style>
  <w:style w:styleId="Contents 4">
    <w:name w:val="Contents 4"/>
    <w:basedOn w:val="Normal"/>
    <w:next w:val="Normal"/>
    <w:pPr>
      <w:ind w:hanging="432"/>
      <w:ind w:left="2880"/>
    </w:pPr>
    <w:rPr/>
  </w:style>
  <w:style w:styleId="Contents Header">
    <w:name w:val="Contents Header"/>
    <w:basedOn w:val="Normal"/>
    <w:next w:val="Normal"/>
    <w:pPr>
      <w:jc w:val="center"/>
      <w:spacing w:after="120"/>
      <w:spacing w:before="240"/>
    </w:pPr>
    <w:rPr>
      <w:b/>
      <w:sz w:val="32"/>
      <w:rFonts w:ascii="Arial" w:cs="Arial" w:hAnsi="Arial"/>
    </w:rPr>
  </w:style>
  <w:style w:styleId="Dashed List">
    <w:name w:val="Dashed List"/>
    <w:pPr>
      <w:ind w:hanging="432"/>
      <w:ind w:left="720"/>
    </w:pPr>
    <w:rPr/>
  </w:style>
  <w:style w:styleId="Diamond List">
    <w:name w:val="Diamond List"/>
    <w:pPr>
      <w:ind w:hanging="432"/>
      <w:ind w:left="720"/>
    </w:pPr>
    <w:rPr/>
  </w:style>
  <w:style w:styleId="Endnote">
    <w:name w:val="Endnote"/>
    <w:basedOn w:val="Normal"/>
    <w:pPr>
      <w:ind w:hanging="288"/>
      <w:ind w:left="288"/>
    </w:pPr>
    <w:rPr/>
  </w:style>
  <w:style w:styleId="Endnote Reference">
    <w:name w:val="Endnote Reference"/>
    <w:pPr/>
    <w:rPr>
      <w:sz w:val="20"/>
      <w:vertAlign w:val="superscript"/>
    </w:rPr>
  </w:style>
  <w:style w:styleId="Endnote Text">
    <w:name w:val="Endnote Text"/>
    <w:basedOn w:val="Normal"/>
    <w:pPr/>
    <w:rPr/>
  </w:style>
  <w:style w:styleId="Footnote">
    <w:name w:val="Footnote"/>
    <w:basedOn w:val="Normal"/>
    <w:pPr>
      <w:ind w:hanging="288"/>
      <w:ind w:left="288"/>
    </w:pPr>
    <w:rPr>
      <w:sz w:val="20"/>
    </w:rPr>
  </w:style>
  <w:style w:styleId="Footnote Reference">
    <w:name w:val="Footnote Reference"/>
    <w:pPr/>
    <w:rPr>
      <w:sz w:val="20"/>
      <w:vertAlign w:val="superscript"/>
    </w:rPr>
  </w:style>
  <w:style w:styleId="Footnote Text">
    <w:name w:val="Footnote Text"/>
    <w:basedOn w:val="Normal"/>
    <w:pPr/>
    <w:rPr>
      <w:sz w:val="20"/>
    </w:rPr>
  </w:style>
  <w:style w:styleId="Hand List">
    <w:name w:val="Hand List"/>
    <w:pPr>
      <w:ind w:hanging="432"/>
      <w:ind w:left="720"/>
    </w:pPr>
    <w:rPr/>
  </w:style>
  <w:style w:styleId="Heading 1">
    <w:name w:val="Heading 1"/>
    <w:basedOn w:val="Normal"/>
    <w:next w:val="Normal"/>
    <w:pPr>
      <w:spacing w:after="60"/>
      <w:spacing w:before="440"/>
    </w:pPr>
    <w:rPr>
      <w:b/>
      <w:sz w:val="34"/>
      <w:rFonts w:ascii="Arial" w:cs="Arial" w:hAnsi="Arial"/>
    </w:rPr>
  </w:style>
  <w:style w:styleId="Heading 2">
    <w:name w:val="Heading 2"/>
    <w:basedOn w:val="Normal"/>
    <w:next w:val="Normal"/>
    <w:pPr>
      <w:spacing w:after="60"/>
      <w:spacing w:before="440"/>
    </w:pPr>
    <w:rPr>
      <w:b/>
      <w:sz w:val="28"/>
      <w:rFonts w:ascii="Arial" w:cs="Arial" w:hAnsi="Arial"/>
    </w:rPr>
  </w:style>
  <w:style w:styleId="Heading 3">
    <w:name w:val="Heading 3"/>
    <w:basedOn w:val="Normal"/>
    <w:next w:val="Normal"/>
    <w:pPr>
      <w:spacing w:after="60"/>
      <w:spacing w:before="440"/>
    </w:pPr>
    <w:rPr>
      <w:b/>
      <w:sz w:val="24"/>
      <w:rFonts w:ascii="Arial" w:cs="Arial" w:hAnsi="Arial"/>
    </w:rPr>
  </w:style>
  <w:style w:styleId="Heading 4">
    <w:name w:val="Heading 4"/>
    <w:basedOn w:val="Normal"/>
    <w:next w:val="Normal"/>
    <w:pPr>
      <w:spacing w:after="60"/>
      <w:spacing w:before="440"/>
    </w:pPr>
    <w:rPr>
      <w:b/>
      <w:sz w:val="24"/>
      <w:rFonts w:ascii="Arial" w:cs="Arial" w:hAnsi="Arial"/>
    </w:rPr>
  </w:style>
  <w:style w:styleId="Heart List">
    <w:name w:val="Heart List"/>
    <w:pPr>
      <w:ind w:hanging="432"/>
      <w:ind w:left="720"/>
    </w:pPr>
    <w:rPr/>
  </w:style>
  <w:style w:styleId="Implies List">
    <w:name w:val="Implies List"/>
    <w:pPr>
      <w:ind w:hanging="432"/>
      <w:ind w:left="720"/>
    </w:pPr>
    <w:rPr/>
  </w:style>
  <w:style w:styleId="Lower Case List">
    <w:name w:val="Lower Case List"/>
    <w:basedOn w:val="Numbered List"/>
    <w:pPr>
      <w:ind w:hanging="432"/>
      <w:ind w:left="720"/>
    </w:pPr>
    <w:rPr/>
  </w:style>
  <w:style w:styleId="Lower Roman List">
    <w:name w:val="Lower Roman List"/>
    <w:basedOn w:val="Normal"/>
    <w:pPr>
      <w:ind w:hanging="432"/>
      <w:ind w:left="720"/>
    </w:pPr>
    <w:rPr/>
  </w:style>
  <w:style w:styleId="Normal">
    <w:name w:val="Normal"/>
    <w:pPr>
      <w:widowControl w:val="on"/>
      <w:jc w:val="left"/>
      <w:spacing w:line="240" w:lineRule="auto"/>
    </w:pPr>
    <w:rPr>
      <w:sz w:val="24"/>
      <w:rFonts w:ascii="Times New Roman" w:cs="Times New Roman" w:hAnsi="Times New Roman"/>
      <w:color w:val="000000"/>
      <w:shd w:fill="ffffff"/>
    </w:rPr>
  </w:style>
  <w:style w:styleId="Numbered Heading 1">
    <w:name w:val="Numbered Heading 1"/>
    <w:basedOn w:val="Heading 1"/>
    <w:next w:val="Normal"/>
    <w:pPr/>
    <w:rPr/>
  </w:style>
  <w:style w:styleId="Numbered Heading 2">
    <w:name w:val="Numbered Heading 2"/>
    <w:basedOn w:val="Heading 2"/>
    <w:next w:val="Normal"/>
    <w:pPr/>
    <w:rPr/>
  </w:style>
  <w:style w:styleId="Numbered Heading 3">
    <w:name w:val="Numbered Heading 3"/>
    <w:basedOn w:val="Heading 3"/>
    <w:next w:val="Normal"/>
    <w:pPr/>
    <w:rPr/>
  </w:style>
  <w:style w:styleId="Numbered List">
    <w:name w:val="Numbered List"/>
    <w:pPr>
      <w:ind w:hanging="432"/>
      <w:ind w:left="720"/>
    </w:pPr>
    <w:rPr/>
  </w:style>
  <w:style w:styleId="Plain Text">
    <w:name w:val="Plain Text"/>
    <w:basedOn w:val="Normal"/>
    <w:pPr/>
    <w:rPr>
      <w:rFonts w:ascii="Courier New" w:cs="Courier New" w:hAnsi="Courier New"/>
    </w:rPr>
  </w:style>
  <w:style w:styleId="Section Heading">
    <w:name w:val="Section Heading"/>
    <w:basedOn w:val="Numbered Heading 1"/>
    <w:next w:val="Normal"/>
    <w:pPr/>
    <w:rPr/>
  </w:style>
  <w:style w:styleId="Square List">
    <w:name w:val="Square List"/>
    <w:pPr>
      <w:ind w:hanging="432"/>
      <w:ind w:left="720"/>
    </w:pPr>
    <w:rPr/>
  </w:style>
  <w:style w:styleId="Star List">
    <w:name w:val="Star List"/>
    <w:pPr>
      <w:ind w:hanging="432"/>
      <w:ind w:left="720"/>
    </w:pPr>
    <w:rPr/>
  </w:style>
  <w:style w:styleId="Tick List">
    <w:name w:val="Tick List"/>
    <w:pPr>
      <w:ind w:hanging="432"/>
      <w:ind w:left="720"/>
    </w:pPr>
    <w:rPr/>
  </w:style>
  <w:style w:styleId="Triangle List">
    <w:name w:val="Triangle List"/>
    <w:pPr>
      <w:ind w:hanging="432"/>
      <w:ind w:left="720"/>
    </w:pPr>
    <w:rPr/>
  </w:style>
  <w:style w:styleId="Upper Case List">
    <w:name w:val="Upper Case List"/>
    <w:basedOn w:val="Numbered List"/>
    <w:pPr>
      <w:ind w:hanging="432"/>
      <w:ind w:left="720"/>
    </w:pPr>
    <w:rPr/>
  </w:style>
  <w:style w:styleId="Upper Roman List">
    <w:name w:val="Upper Roman List"/>
    <w:basedOn w:val="Numbered List"/>
    <w:pPr>
      <w:ind w:hanging="432"/>
      <w:ind w:left="720"/>
    </w:pPr>
    <w:rPr/>
  </w:style>
  <w:docDefaults>
    <w:pPrDefault>
      <w:pPr>
        <w:pStyle w:val="Normal"/>
      </w:pPr>
    </w:pPrDefault>
    <w:rPrDefault>
      <w:rPr>
        <w:rStyle w:val="Normal"/>
      </w:rPr>
    </w:rPrDefault>
  </w:docDefaults>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